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6701B5" w14:textId="22D6B80A" w:rsidR="00BB40A1" w:rsidRPr="00FD5BEE" w:rsidRDefault="000B5683" w:rsidP="00FD5BEE">
      <w:pPr>
        <w:pStyle w:val="1"/>
        <w:rPr>
          <w:bCs w:val="0"/>
        </w:rPr>
      </w:pPr>
      <w:r w:rsidRPr="00FD5BEE">
        <w:rPr>
          <w:bCs w:val="0"/>
        </w:rPr>
        <w:t>2.7 ВРЕМЕННОЕ ТЕХНОЛОГИЧЕСКОЕ ПРИСОЕДИНЕНИЕ К ЭЛЕКТРИЧЕСКИМ СЕТЯМ СЕТЕВОЙ ОРГАНИЗАЦИИ</w:t>
      </w:r>
    </w:p>
    <w:p w14:paraId="38B93D58" w14:textId="77777777" w:rsidR="00BB40A1" w:rsidRDefault="00BB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32279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энергопринимающие устройства являются передвижными и имеют максимальную мощность до 150 кВт включительно на срок до 12 месяцев.</w:t>
      </w:r>
    </w:p>
    <w:p w14:paraId="1CFE5D11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по единой стандартизированной тарифной ставке С1, установленной уполномоченным органом исполнительной власти в области государственного регулирования тарифов субъекта РФ.</w:t>
      </w:r>
    </w:p>
    <w:p w14:paraId="6545183C" w14:textId="77777777" w:rsidR="00BB40A1" w:rsidRDefault="000B568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временного технологического присоединения необходимо одновременное соблюдение следующих условий:</w:t>
      </w:r>
    </w:p>
    <w:p w14:paraId="26BFA571" w14:textId="77777777" w:rsidR="00BB40A1" w:rsidRDefault="000B568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кВт включительно);</w:t>
      </w:r>
    </w:p>
    <w:p w14:paraId="213AAC41" w14:textId="77777777" w:rsidR="00BB40A1" w:rsidRDefault="000B568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14:paraId="62EF0909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присоединения энергопринимающих устройств Заявителя.</w:t>
      </w:r>
    </w:p>
    <w:p w14:paraId="073A8CCB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14:paraId="6C37F826" w14:textId="77777777" w:rsidR="00BB40A1" w:rsidRDefault="000B56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с даты заключения договора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 временном технологическом присоединении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37B0AF" w14:textId="77777777" w:rsidR="00BB40A1" w:rsidRDefault="000B56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- при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временном технологическом присоединении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заявителей, энергопринимающие устройства которых являются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передвижными и имеют максимальную мощность до 150 кВт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14:paraId="0581EC30" w14:textId="77777777" w:rsidR="00BB40A1" w:rsidRDefault="000B56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всех вышеуказанных условий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договора.</w:t>
      </w:r>
    </w:p>
    <w:p w14:paraId="644EB345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3A4042FF" w14:textId="77777777" w:rsidR="00BB40A1" w:rsidRDefault="00BB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5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182"/>
        <w:gridCol w:w="2235"/>
        <w:gridCol w:w="2883"/>
        <w:gridCol w:w="2268"/>
        <w:gridCol w:w="2410"/>
        <w:gridCol w:w="3118"/>
      </w:tblGrid>
      <w:tr w:rsidR="00BB40A1" w14:paraId="7C30758F" w14:textId="77777777">
        <w:tc>
          <w:tcPr>
            <w:tcW w:w="470" w:type="dxa"/>
          </w:tcPr>
          <w:p w14:paraId="4E56FDD0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82" w:type="dxa"/>
          </w:tcPr>
          <w:p w14:paraId="7A53F1D8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2235" w:type="dxa"/>
          </w:tcPr>
          <w:p w14:paraId="0171F125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2883" w:type="dxa"/>
          </w:tcPr>
          <w:p w14:paraId="0B3CCDB8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</w:tcPr>
          <w:p w14:paraId="36ACC4F1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2410" w:type="dxa"/>
          </w:tcPr>
          <w:p w14:paraId="1D0C2044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18" w:type="dxa"/>
          </w:tcPr>
          <w:p w14:paraId="753E903D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BB40A1" w14:paraId="136AF65A" w14:textId="77777777">
        <w:tc>
          <w:tcPr>
            <w:tcW w:w="470" w:type="dxa"/>
            <w:vMerge w:val="restart"/>
          </w:tcPr>
          <w:p w14:paraId="6A1AE376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14:paraId="2495111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2235" w:type="dxa"/>
          </w:tcPr>
          <w:p w14:paraId="05BD766D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5074E99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Заявитель подает заявку на технологическое присоединение</w:t>
            </w:r>
          </w:p>
          <w:p w14:paraId="3033512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BBE1213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Очное обращение заявителя с заявкой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офис обслуживания потребителей,</w:t>
            </w:r>
          </w:p>
          <w:p w14:paraId="05C83DDF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14:paraId="6DFA34C1" w14:textId="7B230326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по электронной форме на сайте ООО «</w:t>
            </w:r>
            <w:r w:rsidR="00305BAB">
              <w:rPr>
                <w:rFonts w:ascii="Times New Roman" w:eastAsia="Times New Roman" w:hAnsi="Times New Roman" w:cs="Times New Roman"/>
                <w:lang w:val="ru-RU"/>
              </w:rPr>
              <w:t>АЭСК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32C6B86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3118" w:type="dxa"/>
          </w:tcPr>
          <w:p w14:paraId="0C9D8E5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 (а), 8, 9, 10, 14 Правил технологического присо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единения энергопринимающих устройств потребителей электрической энергии</w:t>
            </w:r>
          </w:p>
        </w:tc>
      </w:tr>
      <w:tr w:rsidR="00BB40A1" w14:paraId="10E4ADB9" w14:textId="77777777">
        <w:trPr>
          <w:trHeight w:val="80"/>
        </w:trPr>
        <w:tc>
          <w:tcPr>
            <w:tcW w:w="470" w:type="dxa"/>
            <w:vMerge/>
          </w:tcPr>
          <w:p w14:paraId="0979A48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1AA8991F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06ECD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11B8BEE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сведений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документов,  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883" w:type="dxa"/>
          </w:tcPr>
          <w:p w14:paraId="777FC89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268" w:type="dxa"/>
          </w:tcPr>
          <w:p w14:paraId="7C3EC5DB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F395893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рабочих дней после получения заявки</w:t>
            </w:r>
          </w:p>
        </w:tc>
        <w:tc>
          <w:tcPr>
            <w:tcW w:w="3118" w:type="dxa"/>
          </w:tcPr>
          <w:p w14:paraId="2607B62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E02888C" w14:textId="77777777">
        <w:trPr>
          <w:trHeight w:val="80"/>
        </w:trPr>
        <w:tc>
          <w:tcPr>
            <w:tcW w:w="470" w:type="dxa"/>
            <w:vMerge w:val="restart"/>
          </w:tcPr>
          <w:p w14:paraId="2FE94FB9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2" w:type="dxa"/>
            <w:vMerge w:val="restart"/>
          </w:tcPr>
          <w:p w14:paraId="24A44AE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235" w:type="dxa"/>
          </w:tcPr>
          <w:p w14:paraId="4DDAE3A0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615B4B3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Направление (выдача при очном посещении офиса обслуживания) сетевой организацией проекта договора об 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техническими условиями</w:t>
            </w:r>
          </w:p>
        </w:tc>
        <w:tc>
          <w:tcPr>
            <w:tcW w:w="2268" w:type="dxa"/>
          </w:tcPr>
          <w:p w14:paraId="06605705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38F7017B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дней со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дня  получения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заявки; </w:t>
            </w:r>
          </w:p>
          <w:p w14:paraId="77009B08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случае  отсутствия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сведений  (документов) 15 дней с даты  получения недостающих сведений</w:t>
            </w:r>
          </w:p>
        </w:tc>
        <w:tc>
          <w:tcPr>
            <w:tcW w:w="3118" w:type="dxa"/>
          </w:tcPr>
          <w:p w14:paraId="6D486974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C1BD595" w14:textId="77777777">
        <w:trPr>
          <w:trHeight w:val="80"/>
        </w:trPr>
        <w:tc>
          <w:tcPr>
            <w:tcW w:w="470" w:type="dxa"/>
            <w:vMerge/>
          </w:tcPr>
          <w:p w14:paraId="123D0AA6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4ACE4717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668A0D74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32FBA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ECE759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0274053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2.2. Подписание заявителем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двух  экземпляров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268" w:type="dxa"/>
          </w:tcPr>
          <w:p w14:paraId="37F8FE8D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64A2C75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  дня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получения заявителем проекта договора.</w:t>
            </w:r>
          </w:p>
          <w:p w14:paraId="46986F0D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подписанного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проекта договора  либо мотивированного отказа от его подписания через 30 дней  –  заявка аннулируется.</w:t>
            </w:r>
          </w:p>
        </w:tc>
        <w:tc>
          <w:tcPr>
            <w:tcW w:w="3118" w:type="dxa"/>
          </w:tcPr>
          <w:p w14:paraId="60E92AC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2ABD8E0C" w14:textId="77777777">
        <w:trPr>
          <w:trHeight w:val="80"/>
        </w:trPr>
        <w:tc>
          <w:tcPr>
            <w:tcW w:w="470" w:type="dxa"/>
            <w:vMerge/>
          </w:tcPr>
          <w:p w14:paraId="02DDB08A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0DCA57E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269B147C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6DA22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F37CFA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560E5A7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 Направление (выдача при очном посещении офиса обслуживания) сете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вой организацией откорректированного проекта договора об 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268" w:type="dxa"/>
          </w:tcPr>
          <w:p w14:paraId="7FB234D0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Письменная форма проекта договора, подписанного со сто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72A113BC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 рабочих дней с даты получения от заявителя мотивированного требования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приведении проекта договора в соответствие с Правилами ТП</w:t>
            </w:r>
          </w:p>
        </w:tc>
        <w:tc>
          <w:tcPr>
            <w:tcW w:w="3118" w:type="dxa"/>
          </w:tcPr>
          <w:p w14:paraId="287EFD0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принимающих устройств потребителей электрической энергии</w:t>
            </w:r>
          </w:p>
        </w:tc>
      </w:tr>
      <w:tr w:rsidR="00BB40A1" w14:paraId="51CAB599" w14:textId="77777777">
        <w:trPr>
          <w:trHeight w:val="80"/>
        </w:trPr>
        <w:tc>
          <w:tcPr>
            <w:tcW w:w="470" w:type="dxa"/>
            <w:vMerge/>
          </w:tcPr>
          <w:p w14:paraId="44FF250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0B3D0A2A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3FBBA7B4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1D71F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A90451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2817622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268" w:type="dxa"/>
          </w:tcPr>
          <w:p w14:paraId="241C698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14:paraId="71082159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FF448F8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2 рабочих дней с даты заключения договора</w:t>
            </w:r>
          </w:p>
        </w:tc>
        <w:tc>
          <w:tcPr>
            <w:tcW w:w="3118" w:type="dxa"/>
          </w:tcPr>
          <w:p w14:paraId="39A032D4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BEC2C1D" w14:textId="77777777">
        <w:trPr>
          <w:trHeight w:val="680"/>
        </w:trPr>
        <w:tc>
          <w:tcPr>
            <w:tcW w:w="470" w:type="dxa"/>
            <w:vMerge w:val="restart"/>
          </w:tcPr>
          <w:p w14:paraId="68A58C77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82" w:type="dxa"/>
            <w:vMerge w:val="restart"/>
          </w:tcPr>
          <w:p w14:paraId="320AA1E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235" w:type="dxa"/>
          </w:tcPr>
          <w:p w14:paraId="5CF2BBC4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883" w:type="dxa"/>
          </w:tcPr>
          <w:p w14:paraId="671A30A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 Выполнение сетевой организацией мероприятий, предусмотренных договором</w:t>
            </w:r>
          </w:p>
        </w:tc>
        <w:tc>
          <w:tcPr>
            <w:tcW w:w="2268" w:type="dxa"/>
          </w:tcPr>
          <w:p w14:paraId="72C990CB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39C4ADF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 w:val="restart"/>
          </w:tcPr>
          <w:p w14:paraId="4951A322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0844240" w14:textId="77777777">
        <w:trPr>
          <w:trHeight w:val="680"/>
        </w:trPr>
        <w:tc>
          <w:tcPr>
            <w:tcW w:w="470" w:type="dxa"/>
            <w:vMerge/>
          </w:tcPr>
          <w:p w14:paraId="0E65296F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59F33315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61FB897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D57619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2044B8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39F9240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 Выполнение заявителем мероприятий, предусмотренных договором</w:t>
            </w:r>
          </w:p>
        </w:tc>
        <w:tc>
          <w:tcPr>
            <w:tcW w:w="2268" w:type="dxa"/>
          </w:tcPr>
          <w:p w14:paraId="25E9056E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7782065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/>
          </w:tcPr>
          <w:p w14:paraId="523AB024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6E6D7093" w14:textId="77777777">
        <w:trPr>
          <w:trHeight w:val="680"/>
        </w:trPr>
        <w:tc>
          <w:tcPr>
            <w:tcW w:w="470" w:type="dxa"/>
            <w:vMerge/>
          </w:tcPr>
          <w:p w14:paraId="5CEE5DA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3F8C9A2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10039282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1836C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F9666C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7DDB350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5D8ED1D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B15263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пакетом необходимых документов</w:t>
            </w:r>
          </w:p>
        </w:tc>
        <w:tc>
          <w:tcPr>
            <w:tcW w:w="2410" w:type="dxa"/>
          </w:tcPr>
          <w:p w14:paraId="056797D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3118" w:type="dxa"/>
          </w:tcPr>
          <w:p w14:paraId="7238219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21C4F7A4" w14:textId="77777777">
        <w:trPr>
          <w:trHeight w:val="680"/>
        </w:trPr>
        <w:tc>
          <w:tcPr>
            <w:tcW w:w="470" w:type="dxa"/>
            <w:vMerge w:val="restart"/>
          </w:tcPr>
          <w:p w14:paraId="7784A59E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2" w:type="dxa"/>
          </w:tcPr>
          <w:p w14:paraId="36D2A61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35" w:type="dxa"/>
          </w:tcPr>
          <w:p w14:paraId="4A3ABEC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сетевой организацией от заявителя уведомления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 выполнении технических условий</w:t>
            </w:r>
          </w:p>
        </w:tc>
        <w:tc>
          <w:tcPr>
            <w:tcW w:w="2883" w:type="dxa"/>
          </w:tcPr>
          <w:p w14:paraId="4AB502B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4.1. Проверка соответствия технических решений, параметров оборудования (устройств) и проведенных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мероприятий требованиям технических условий. </w:t>
            </w:r>
          </w:p>
        </w:tc>
        <w:tc>
          <w:tcPr>
            <w:tcW w:w="2268" w:type="dxa"/>
          </w:tcPr>
          <w:p w14:paraId="1D3662C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 невыполнении требований технических условий сетевая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организация в письменной форме составляется перечень замечаний</w:t>
            </w:r>
          </w:p>
        </w:tc>
        <w:tc>
          <w:tcPr>
            <w:tcW w:w="2410" w:type="dxa"/>
          </w:tcPr>
          <w:p w14:paraId="4A78318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течение 10 дней со дня получения от заявителя уведомления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выполнении им технических условий либо об устранении замечаний</w:t>
            </w:r>
          </w:p>
        </w:tc>
        <w:tc>
          <w:tcPr>
            <w:tcW w:w="3118" w:type="dxa"/>
          </w:tcPr>
          <w:p w14:paraId="0010DB9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Пункты 90 Правил технологического присоединения энер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гопринимающих устройств потребителей электрической энергии</w:t>
            </w:r>
          </w:p>
        </w:tc>
      </w:tr>
      <w:tr w:rsidR="00BB40A1" w14:paraId="290CCF92" w14:textId="77777777">
        <w:trPr>
          <w:trHeight w:val="680"/>
        </w:trPr>
        <w:tc>
          <w:tcPr>
            <w:tcW w:w="470" w:type="dxa"/>
            <w:vMerge/>
          </w:tcPr>
          <w:p w14:paraId="1C5D0282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3735F19F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8323AD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60FC5F3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883" w:type="dxa"/>
          </w:tcPr>
          <w:p w14:paraId="4CDCAF3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 Повторный осмотр электроустановки заявителя</w:t>
            </w:r>
          </w:p>
        </w:tc>
        <w:tc>
          <w:tcPr>
            <w:tcW w:w="2268" w:type="dxa"/>
          </w:tcPr>
          <w:p w14:paraId="493BD29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об устранении замечаний в письменной форме</w:t>
            </w:r>
          </w:p>
          <w:p w14:paraId="1709AD8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952543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3118" w:type="dxa"/>
          </w:tcPr>
          <w:p w14:paraId="1675320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73DD392A" w14:textId="77777777">
        <w:trPr>
          <w:trHeight w:val="680"/>
        </w:trPr>
        <w:tc>
          <w:tcPr>
            <w:tcW w:w="470" w:type="dxa"/>
            <w:vMerge/>
          </w:tcPr>
          <w:p w14:paraId="6B83E123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3D60F865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261E1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6D5E668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599005A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 Прием в эксплуатацию прибора учета.</w:t>
            </w:r>
          </w:p>
          <w:p w14:paraId="0535FC4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сторонами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передача Акт допуска в эксплуатацию прибора учета.</w:t>
            </w:r>
          </w:p>
        </w:tc>
        <w:tc>
          <w:tcPr>
            <w:tcW w:w="2268" w:type="dxa"/>
          </w:tcPr>
          <w:p w14:paraId="031C58D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2410" w:type="dxa"/>
          </w:tcPr>
          <w:p w14:paraId="7188B4D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3118" w:type="dxa"/>
          </w:tcPr>
          <w:p w14:paraId="248DED81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Х Основ функционирования розничных рынков электрической энергии</w:t>
            </w:r>
            <w:r>
              <w:rPr>
                <w:vertAlign w:val="superscript"/>
              </w:rPr>
              <w:footnoteReference w:id="1"/>
            </w:r>
          </w:p>
        </w:tc>
      </w:tr>
      <w:tr w:rsidR="00BB40A1" w14:paraId="5B6C7196" w14:textId="77777777">
        <w:trPr>
          <w:trHeight w:val="680"/>
        </w:trPr>
        <w:tc>
          <w:tcPr>
            <w:tcW w:w="470" w:type="dxa"/>
            <w:vMerge/>
          </w:tcPr>
          <w:p w14:paraId="08E6EF2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1E717E6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0B7AC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6A720F1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выполнения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заявителем  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2883" w:type="dxa"/>
          </w:tcPr>
          <w:p w14:paraId="34B8D2C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 Направление (выдача) заявителю Акта о выполнении технических условий в 2 экземплярах</w:t>
            </w:r>
          </w:p>
        </w:tc>
        <w:tc>
          <w:tcPr>
            <w:tcW w:w="2268" w:type="dxa"/>
          </w:tcPr>
          <w:p w14:paraId="317BC1D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73C9086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день проведения осмотра </w:t>
            </w:r>
          </w:p>
        </w:tc>
        <w:tc>
          <w:tcPr>
            <w:tcW w:w="3118" w:type="dxa"/>
          </w:tcPr>
          <w:p w14:paraId="0253944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C52D3E4" w14:textId="77777777">
        <w:trPr>
          <w:trHeight w:val="680"/>
        </w:trPr>
        <w:tc>
          <w:tcPr>
            <w:tcW w:w="470" w:type="dxa"/>
            <w:vMerge/>
          </w:tcPr>
          <w:p w14:paraId="6A4E62C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5C2F8018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520DD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57E97A8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330F225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66A5BA3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EE518C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позволяющим подтвердить факт получения, или выдаются заявителю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tcW w:w="2410" w:type="dxa"/>
          </w:tcPr>
          <w:p w14:paraId="35F3A95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день проведения осмотра</w:t>
            </w:r>
          </w:p>
        </w:tc>
        <w:tc>
          <w:tcPr>
            <w:tcW w:w="3118" w:type="dxa"/>
          </w:tcPr>
          <w:p w14:paraId="5FB42095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A6317D4" w14:textId="77777777">
        <w:trPr>
          <w:trHeight w:val="680"/>
        </w:trPr>
        <w:tc>
          <w:tcPr>
            <w:tcW w:w="470" w:type="dxa"/>
            <w:vMerge w:val="restart"/>
          </w:tcPr>
          <w:p w14:paraId="30978A8D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82" w:type="dxa"/>
          </w:tcPr>
          <w:p w14:paraId="40AB09F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2235" w:type="dxa"/>
          </w:tcPr>
          <w:p w14:paraId="7CA9C17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176FB45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268" w:type="dxa"/>
          </w:tcPr>
          <w:p w14:paraId="3365695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487B16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74ADCB74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67795C7" w14:textId="77777777">
        <w:trPr>
          <w:trHeight w:val="260"/>
        </w:trPr>
        <w:tc>
          <w:tcPr>
            <w:tcW w:w="470" w:type="dxa"/>
            <w:vMerge/>
          </w:tcPr>
          <w:p w14:paraId="5695EF1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51012AD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D5D89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0AE217A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1EB3425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5.2. Оформление сетевой организации и направление (выдача) заявителю: </w:t>
            </w:r>
          </w:p>
          <w:p w14:paraId="5E05763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</w:t>
            </w:r>
          </w:p>
          <w:p w14:paraId="1295486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406FC7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со стороны сетевой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акт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1B0F6C4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39B95827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4A72B5D" w14:textId="77777777">
        <w:trPr>
          <w:trHeight w:val="680"/>
        </w:trPr>
        <w:tc>
          <w:tcPr>
            <w:tcW w:w="470" w:type="dxa"/>
            <w:vMerge/>
          </w:tcPr>
          <w:p w14:paraId="04B9C352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6586D3F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86E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1109C2B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3E7F401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5.3. Направление сетевой организацией подписанных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 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 в энергосбытовую организацию </w:t>
            </w:r>
          </w:p>
        </w:tc>
        <w:tc>
          <w:tcPr>
            <w:tcW w:w="2268" w:type="dxa"/>
          </w:tcPr>
          <w:p w14:paraId="32CBA43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2410" w:type="dxa"/>
          </w:tcPr>
          <w:p w14:paraId="4968988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подписанных  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в сетевую организацию</w:t>
            </w:r>
          </w:p>
        </w:tc>
        <w:tc>
          <w:tcPr>
            <w:tcW w:w="3118" w:type="dxa"/>
          </w:tcPr>
          <w:p w14:paraId="4CAFF06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089B368" w14:textId="77777777">
        <w:trPr>
          <w:trHeight w:val="680"/>
        </w:trPr>
        <w:tc>
          <w:tcPr>
            <w:tcW w:w="470" w:type="dxa"/>
            <w:vMerge w:val="restart"/>
          </w:tcPr>
          <w:p w14:paraId="6C37573D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2" w:type="dxa"/>
            <w:vMerge w:val="restart"/>
          </w:tcPr>
          <w:p w14:paraId="221AB1C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2235" w:type="dxa"/>
          </w:tcPr>
          <w:p w14:paraId="7523DC0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14:paraId="7BBC576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по обращению заявителя, поданному не позднее 10 дней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 планируемой даты отсоединения;</w:t>
            </w:r>
          </w:p>
          <w:p w14:paraId="0372BFA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tcW w:w="2883" w:type="dxa"/>
          </w:tcPr>
          <w:p w14:paraId="642F0F0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6.1. 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</w:tc>
        <w:tc>
          <w:tcPr>
            <w:tcW w:w="2268" w:type="dxa"/>
          </w:tcPr>
          <w:p w14:paraId="7C617E6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2410" w:type="dxa"/>
          </w:tcPr>
          <w:p w14:paraId="433BFC7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3118" w:type="dxa"/>
          </w:tcPr>
          <w:p w14:paraId="6F51CF4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6D20A94" w14:textId="77777777">
        <w:trPr>
          <w:trHeight w:val="680"/>
        </w:trPr>
        <w:tc>
          <w:tcPr>
            <w:tcW w:w="470" w:type="dxa"/>
            <w:vMerge/>
          </w:tcPr>
          <w:p w14:paraId="2DB463B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7C632405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0269D645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4DD1A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71FE6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5D392EA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 Выполнение работ по отсоединению энергопринимающих устройств заявителя</w:t>
            </w:r>
          </w:p>
        </w:tc>
        <w:tc>
          <w:tcPr>
            <w:tcW w:w="2268" w:type="dxa"/>
          </w:tcPr>
          <w:p w14:paraId="75C06F5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включительно на срок </w:t>
            </w:r>
          </w:p>
        </w:tc>
        <w:tc>
          <w:tcPr>
            <w:tcW w:w="2410" w:type="dxa"/>
          </w:tcPr>
          <w:p w14:paraId="727C94A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 месяцев (энергопринимающие устройства являются передвижными и имеют максимальную мощность до 150 кВт);</w:t>
            </w:r>
          </w:p>
          <w:p w14:paraId="305EC28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3E59670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7134FB2" w14:textId="77777777">
        <w:trPr>
          <w:trHeight w:val="680"/>
        </w:trPr>
        <w:tc>
          <w:tcPr>
            <w:tcW w:w="470" w:type="dxa"/>
            <w:vMerge/>
          </w:tcPr>
          <w:p w14:paraId="42EC887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073CEA25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46EF52E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4C2A01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F44A2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</w:tcPr>
          <w:p w14:paraId="40CD48D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 Выдача Сетевой организацией Акта об отсоединении энергопринимающих устройств заявителю и направление Акта в энергосбытовую организацию</w:t>
            </w:r>
          </w:p>
        </w:tc>
        <w:tc>
          <w:tcPr>
            <w:tcW w:w="2268" w:type="dxa"/>
          </w:tcPr>
          <w:p w14:paraId="1E70C41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tcW w:w="2410" w:type="dxa"/>
          </w:tcPr>
          <w:p w14:paraId="67205C1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5 рабочих дней </w:t>
            </w:r>
          </w:p>
          <w:p w14:paraId="5F7A744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77CB233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56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AE54198" w14:textId="77777777" w:rsidR="00BB40A1" w:rsidRDefault="00BB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B40A1" w:rsidSect="001D69CE">
      <w:footerReference w:type="default" r:id="rId8"/>
      <w:pgSz w:w="16838" w:h="11906" w:orient="landscape"/>
      <w:pgMar w:top="720" w:right="720" w:bottom="720" w:left="7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E2E2" w14:textId="77777777" w:rsidR="00D3768A" w:rsidRDefault="00D3768A">
      <w:pPr>
        <w:spacing w:after="0" w:line="240" w:lineRule="auto"/>
      </w:pPr>
      <w:r>
        <w:separator/>
      </w:r>
    </w:p>
  </w:endnote>
  <w:endnote w:type="continuationSeparator" w:id="0">
    <w:p w14:paraId="281E8B4D" w14:textId="77777777" w:rsidR="00D3768A" w:rsidRDefault="00D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3C6" w14:textId="77777777" w:rsidR="00AB262E" w:rsidRDefault="00AB2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931C" w14:textId="77777777" w:rsidR="00D3768A" w:rsidRDefault="00D3768A">
      <w:pPr>
        <w:spacing w:after="0" w:line="240" w:lineRule="auto"/>
      </w:pPr>
      <w:r>
        <w:separator/>
      </w:r>
    </w:p>
  </w:footnote>
  <w:footnote w:type="continuationSeparator" w:id="0">
    <w:p w14:paraId="31A2016B" w14:textId="77777777" w:rsidR="00D3768A" w:rsidRDefault="00D3768A">
      <w:pPr>
        <w:spacing w:after="0" w:line="240" w:lineRule="auto"/>
      </w:pPr>
      <w:r>
        <w:continuationSeparator/>
      </w:r>
    </w:p>
  </w:footnote>
  <w:footnote w:id="1">
    <w:p w14:paraId="6A1CDBB9" w14:textId="77777777" w:rsidR="00AB262E" w:rsidRDefault="00A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87"/>
    <w:multiLevelType w:val="multilevel"/>
    <w:tmpl w:val="75F0F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573"/>
    <w:multiLevelType w:val="multilevel"/>
    <w:tmpl w:val="1FF8B070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1"/>
    <w:rsid w:val="000B5683"/>
    <w:rsid w:val="00162912"/>
    <w:rsid w:val="0018389A"/>
    <w:rsid w:val="001D69CE"/>
    <w:rsid w:val="002231B8"/>
    <w:rsid w:val="00305BAB"/>
    <w:rsid w:val="00380C02"/>
    <w:rsid w:val="004674E8"/>
    <w:rsid w:val="0048583A"/>
    <w:rsid w:val="00507734"/>
    <w:rsid w:val="005E3132"/>
    <w:rsid w:val="005E3311"/>
    <w:rsid w:val="00626A06"/>
    <w:rsid w:val="006460A9"/>
    <w:rsid w:val="006E650F"/>
    <w:rsid w:val="007C304B"/>
    <w:rsid w:val="007C3692"/>
    <w:rsid w:val="007E0F8A"/>
    <w:rsid w:val="00875A4F"/>
    <w:rsid w:val="0094375D"/>
    <w:rsid w:val="009B2AE2"/>
    <w:rsid w:val="00A26584"/>
    <w:rsid w:val="00AB262E"/>
    <w:rsid w:val="00AB378E"/>
    <w:rsid w:val="00BB40A1"/>
    <w:rsid w:val="00D3768A"/>
    <w:rsid w:val="00D637D4"/>
    <w:rsid w:val="00D72860"/>
    <w:rsid w:val="00E13F8C"/>
    <w:rsid w:val="00E864F8"/>
    <w:rsid w:val="00E876CC"/>
    <w:rsid w:val="00EE690E"/>
    <w:rsid w:val="00F864F1"/>
    <w:rsid w:val="00FC30B5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799"/>
  <w15:docId w15:val="{2BC6E86E-44DA-40C7-AC4A-42B0D1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FD5BE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D5BE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E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64F8"/>
  </w:style>
  <w:style w:type="paragraph" w:styleId="af2">
    <w:name w:val="footer"/>
    <w:basedOn w:val="a"/>
    <w:link w:val="af3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4F8"/>
  </w:style>
  <w:style w:type="character" w:customStyle="1" w:styleId="20">
    <w:name w:val="Основной текст (2)_"/>
    <w:basedOn w:val="a0"/>
    <w:link w:val="21"/>
    <w:rsid w:val="00E8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4F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Сноска_"/>
    <w:basedOn w:val="a0"/>
    <w:link w:val="af5"/>
    <w:rsid w:val="00E864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E864F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0"/>
    <w:rsid w:val="00E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1D6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1D69C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0E7-E83D-4FC3-87FF-C58857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AltSetKomp4</dc:creator>
  <cp:lastModifiedBy>Sergey</cp:lastModifiedBy>
  <cp:revision>2</cp:revision>
  <dcterms:created xsi:type="dcterms:W3CDTF">2021-04-01T16:55:00Z</dcterms:created>
  <dcterms:modified xsi:type="dcterms:W3CDTF">2021-04-01T16:55:00Z</dcterms:modified>
</cp:coreProperties>
</file>